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center"/>
        <w:textAlignment w:val="baseline"/>
        <w:rPr>
          <w:rFonts w:hint="eastAsia" w:ascii="黑体" w:hAnsi="黑体" w:eastAsia="黑体" w:cs="黑体"/>
          <w:b w:val="0"/>
          <w:bCs w:val="0"/>
          <w:spacing w:val="0"/>
          <w:w w:val="100"/>
          <w:positio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center"/>
        <w:textAlignment w:val="baseline"/>
        <w:rPr>
          <w:rFonts w:ascii="Arial"/>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left="0" w:leftChars="0"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邢农提案字〔2025〕14号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880" w:firstLineChars="20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r>
        <w:rPr>
          <w:rFonts w:hint="eastAsia" w:ascii="方正小标宋_GBK" w:hAnsi="方正小标宋_GBK" w:eastAsia="方正小标宋_GBK" w:cs="方正小标宋_GBK"/>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五</w:t>
      </w:r>
      <w:r>
        <w:rPr>
          <w:rFonts w:hint="eastAsia" w:ascii="方正小标宋简体" w:hAnsi="方正小标宋简体" w:eastAsia="方正小标宋简体" w:cs="方正小标宋简体"/>
          <w:b w:val="0"/>
          <w:bCs w:val="0"/>
          <w:spacing w:val="0"/>
          <w:w w:val="100"/>
          <w:position w:val="0"/>
          <w:sz w:val="44"/>
          <w:szCs w:val="44"/>
        </w:rPr>
        <w:t>次会</w:t>
      </w:r>
      <w:r>
        <w:rPr>
          <w:rFonts w:hint="eastAsia" w:ascii="方正小标宋_GBK" w:hAnsi="方正小标宋_GBK" w:eastAsia="方正小标宋_GBK" w:cs="方正小标宋_GBK"/>
          <w:b w:val="0"/>
          <w:bCs w:val="0"/>
          <w:spacing w:val="0"/>
          <w:w w:val="100"/>
          <w:position w:val="0"/>
          <w:sz w:val="44"/>
          <w:szCs w:val="44"/>
        </w:rPr>
        <w:t>议第</w:t>
      </w:r>
      <w:r>
        <w:rPr>
          <w:rFonts w:hint="eastAsia" w:ascii="方正小标宋_GBK" w:hAnsi="方正小标宋_GBK" w:eastAsia="方正小标宋_GBK" w:cs="方正小标宋_GBK"/>
          <w:b w:val="0"/>
          <w:bCs w:val="0"/>
          <w:spacing w:val="0"/>
          <w:w w:val="100"/>
          <w:position w:val="0"/>
          <w:sz w:val="44"/>
          <w:szCs w:val="44"/>
          <w:lang w:val="en-US" w:eastAsia="zh-CN"/>
        </w:rPr>
        <w:t>392</w:t>
      </w:r>
      <w:r>
        <w:rPr>
          <w:rFonts w:hint="eastAsia" w:ascii="方正小标宋_GBK" w:hAnsi="方正小标宋_GBK" w:eastAsia="方正小标宋_GBK" w:cs="方正小标宋_GBK"/>
          <w:b w:val="0"/>
          <w:bCs w:val="0"/>
          <w:spacing w:val="0"/>
          <w:w w:val="100"/>
          <w:position w:val="0"/>
          <w:sz w:val="44"/>
          <w:szCs w:val="44"/>
        </w:rPr>
        <w:t>号提案的答复</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ascii="仿宋" w:hAnsi="仿宋" w:eastAsia="仿宋" w:cs="仿宋"/>
          <w:spacing w:val="0"/>
          <w:w w:val="100"/>
          <w:position w:val="0"/>
          <w:sz w:val="31"/>
          <w:szCs w:val="3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民建邢台市委</w:t>
      </w:r>
      <w:r>
        <w:rPr>
          <w:rFonts w:hint="eastAsia" w:ascii="仿宋_GB2312" w:hAnsi="仿宋_GB2312" w:eastAsia="仿宋_GB2312" w:cs="仿宋_GB2312"/>
          <w:spacing w:val="0"/>
          <w:w w:val="100"/>
          <w:position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你们</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eastAsia="zh-CN"/>
        </w:rPr>
        <w:t>关于加快邢台市食品加工产业隆起带建设步伐的建议</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eastAsia="zh-CN"/>
        </w:rPr>
        <w:t>的</w:t>
      </w:r>
      <w:r>
        <w:rPr>
          <w:rFonts w:hint="eastAsia" w:ascii="仿宋_GB2312" w:hAnsi="仿宋_GB2312" w:eastAsia="仿宋_GB2312" w:cs="仿宋_GB2312"/>
          <w:spacing w:val="0"/>
          <w:w w:val="100"/>
          <w:position w:val="0"/>
          <w:sz w:val="32"/>
          <w:szCs w:val="32"/>
          <w:lang w:val="en-US" w:eastAsia="zh-CN"/>
        </w:rPr>
        <w:t>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我局高度重视，认真研究，积极抓好落实。现结合工作实际答复如下：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_GB2312" w:hAnsi="仿宋_GB2312" w:eastAsia="仿宋_GB2312" w:cs="仿宋_GB2312"/>
          <w:spacing w:val="0"/>
          <w:w w:val="100"/>
          <w:position w:val="0"/>
          <w:sz w:val="32"/>
          <w:szCs w:val="32"/>
          <w:lang w:val="en-US" w:eastAsia="zh-CN"/>
        </w:rPr>
      </w:pPr>
      <w:r>
        <w:rPr>
          <w:rFonts w:hint="default" w:ascii="仿宋_GB2312" w:hAnsi="仿宋_GB2312" w:eastAsia="仿宋_GB2312" w:cs="仿宋_GB2312"/>
          <w:spacing w:val="0"/>
          <w:w w:val="100"/>
          <w:position w:val="0"/>
          <w:sz w:val="32"/>
          <w:szCs w:val="32"/>
          <w:lang w:val="en-US" w:eastAsia="zh-CN"/>
        </w:rPr>
        <w:t>近年来，</w:t>
      </w:r>
      <w:r>
        <w:rPr>
          <w:rFonts w:hint="eastAsia" w:ascii="仿宋_GB2312" w:hAnsi="仿宋_GB2312" w:eastAsia="仿宋_GB2312" w:cs="仿宋_GB2312"/>
          <w:spacing w:val="0"/>
          <w:w w:val="100"/>
          <w:position w:val="0"/>
          <w:sz w:val="32"/>
          <w:szCs w:val="32"/>
          <w:lang w:val="en-US" w:eastAsia="zh-CN"/>
        </w:rPr>
        <w:t>我们抢抓省支持邢台市建设食品加工产业隆起带机遇，</w:t>
      </w:r>
      <w:r>
        <w:rPr>
          <w:rFonts w:hint="default" w:ascii="仿宋_GB2312" w:hAnsi="仿宋_GB2312" w:eastAsia="仿宋_GB2312" w:cs="仿宋_GB2312"/>
          <w:spacing w:val="0"/>
          <w:w w:val="100"/>
          <w:position w:val="0"/>
          <w:sz w:val="32"/>
          <w:szCs w:val="32"/>
          <w:lang w:val="en-US" w:eastAsia="zh-CN"/>
        </w:rPr>
        <w:t>把发展</w:t>
      </w:r>
      <w:r>
        <w:rPr>
          <w:rFonts w:hint="eastAsia" w:ascii="仿宋_GB2312" w:hAnsi="仿宋_GB2312" w:eastAsia="仿宋_GB2312" w:cs="仿宋_GB2312"/>
          <w:spacing w:val="0"/>
          <w:w w:val="100"/>
          <w:position w:val="0"/>
          <w:sz w:val="32"/>
          <w:szCs w:val="32"/>
          <w:lang w:val="en-US" w:eastAsia="zh-CN"/>
        </w:rPr>
        <w:t>农产品加工业</w:t>
      </w:r>
      <w:r>
        <w:rPr>
          <w:rFonts w:hint="default" w:ascii="仿宋_GB2312" w:hAnsi="仿宋_GB2312" w:eastAsia="仿宋_GB2312" w:cs="仿宋_GB2312"/>
          <w:spacing w:val="0"/>
          <w:w w:val="100"/>
          <w:position w:val="0"/>
          <w:sz w:val="32"/>
          <w:szCs w:val="32"/>
          <w:lang w:val="en-US" w:eastAsia="zh-CN"/>
        </w:rPr>
        <w:t>作为促进乡村振兴的重</w:t>
      </w:r>
      <w:r>
        <w:rPr>
          <w:rFonts w:hint="eastAsia" w:ascii="仿宋_GB2312" w:hAnsi="仿宋_GB2312" w:eastAsia="仿宋_GB2312" w:cs="仿宋_GB2312"/>
          <w:spacing w:val="0"/>
          <w:w w:val="100"/>
          <w:position w:val="0"/>
          <w:sz w:val="32"/>
          <w:szCs w:val="32"/>
          <w:lang w:val="en-US" w:eastAsia="zh-CN"/>
        </w:rPr>
        <w:t>点工作</w:t>
      </w:r>
      <w:r>
        <w:rPr>
          <w:rFonts w:hint="default" w:ascii="仿宋_GB2312" w:hAnsi="仿宋_GB2312" w:eastAsia="仿宋_GB2312" w:cs="仿宋_GB2312"/>
          <w:spacing w:val="0"/>
          <w:w w:val="100"/>
          <w:position w:val="0"/>
          <w:sz w:val="32"/>
          <w:szCs w:val="32"/>
          <w:lang w:val="en-US" w:eastAsia="zh-CN"/>
        </w:rPr>
        <w:t>，</w:t>
      </w:r>
      <w:r>
        <w:rPr>
          <w:rFonts w:hint="eastAsia" w:ascii="仿宋_GB2312" w:hAnsi="仿宋_GB2312" w:eastAsia="仿宋_GB2312" w:cs="仿宋_GB2312"/>
          <w:spacing w:val="0"/>
          <w:w w:val="100"/>
          <w:position w:val="0"/>
          <w:sz w:val="32"/>
          <w:szCs w:val="32"/>
          <w:lang w:val="en-US" w:eastAsia="zh-CN"/>
        </w:rPr>
        <w:t>以打造食品加工产业隆起带为抓手，</w:t>
      </w:r>
      <w:r>
        <w:rPr>
          <w:rFonts w:hint="default" w:ascii="仿宋_GB2312" w:hAnsi="仿宋_GB2312" w:eastAsia="仿宋_GB2312" w:cs="仿宋_GB2312"/>
          <w:spacing w:val="0"/>
          <w:w w:val="100"/>
          <w:position w:val="0"/>
          <w:sz w:val="32"/>
          <w:szCs w:val="32"/>
          <w:lang w:val="en-US" w:eastAsia="zh-CN"/>
        </w:rPr>
        <w:t>做大做强</w:t>
      </w:r>
      <w:r>
        <w:rPr>
          <w:rFonts w:hint="eastAsia" w:ascii="仿宋_GB2312" w:hAnsi="仿宋_GB2312" w:eastAsia="仿宋_GB2312" w:cs="仿宋_GB2312"/>
          <w:spacing w:val="0"/>
          <w:w w:val="100"/>
          <w:position w:val="0"/>
          <w:sz w:val="32"/>
          <w:szCs w:val="32"/>
          <w:lang w:val="en-US" w:eastAsia="zh-CN"/>
        </w:rPr>
        <w:t>农产品加工业</w:t>
      </w:r>
      <w:r>
        <w:rPr>
          <w:rFonts w:hint="default" w:ascii="仿宋_GB2312" w:hAnsi="仿宋_GB2312" w:eastAsia="仿宋_GB2312" w:cs="仿宋_GB2312"/>
          <w:spacing w:val="0"/>
          <w:w w:val="100"/>
          <w:position w:val="0"/>
          <w:sz w:val="32"/>
          <w:szCs w:val="32"/>
          <w:lang w:val="en-US" w:eastAsia="zh-CN"/>
        </w:rPr>
        <w:t>，</w:t>
      </w:r>
      <w:r>
        <w:rPr>
          <w:rFonts w:hint="eastAsia" w:ascii="仿宋_GB2312" w:hAnsi="仿宋_GB2312" w:eastAsia="仿宋_GB2312" w:cs="仿宋_GB2312"/>
          <w:spacing w:val="0"/>
          <w:w w:val="100"/>
          <w:position w:val="0"/>
          <w:sz w:val="32"/>
          <w:szCs w:val="32"/>
          <w:lang w:val="en-US" w:eastAsia="zh-CN"/>
        </w:rPr>
        <w:t>推进一二三产业融合加速发展，实现由农业大市向农业强市转变</w:t>
      </w:r>
      <w:r>
        <w:rPr>
          <w:rFonts w:hint="default" w:ascii="仿宋_GB2312" w:hAnsi="仿宋_GB2312" w:eastAsia="仿宋_GB2312" w:cs="仿宋_GB2312"/>
          <w:spacing w:val="0"/>
          <w:w w:val="100"/>
          <w:position w:val="0"/>
          <w:sz w:val="32"/>
          <w:szCs w:val="32"/>
          <w:lang w:val="en-US" w:eastAsia="zh-CN"/>
        </w:rPr>
        <w:t>。</w:t>
      </w:r>
    </w:p>
    <w:p>
      <w:pPr>
        <w:pStyle w:val="5"/>
        <w:keepNext w:val="0"/>
        <w:keepLines w:val="0"/>
        <w:pageBreakBefore w:val="0"/>
        <w:widowControl w:val="0"/>
        <w:numPr>
          <w:ilvl w:val="0"/>
          <w:numId w:val="1"/>
        </w:numPr>
        <w:kinsoku/>
        <w:wordWrap/>
        <w:overflowPunct/>
        <w:topLinePunct w:val="0"/>
        <w:autoSpaceDE/>
        <w:autoSpaceDN/>
        <w:bidi w:val="0"/>
        <w:adjustRightInd/>
        <w:spacing w:line="560" w:lineRule="exact"/>
        <w:ind w:firstLine="640" w:firstLineChars="200"/>
        <w:jc w:val="both"/>
        <w:textAlignment w:val="auto"/>
        <w:rPr>
          <w:rFonts w:hint="eastAsia" w:ascii="黑体" w:hAnsi="黑体" w:eastAsia="黑体" w:cs="黑体"/>
          <w:spacing w:val="0"/>
          <w:w w:val="100"/>
          <w:position w:val="0"/>
          <w:sz w:val="32"/>
          <w:szCs w:val="32"/>
          <w:highlight w:val="none"/>
          <w:lang w:eastAsia="zh-CN"/>
        </w:rPr>
      </w:pPr>
      <w:r>
        <w:rPr>
          <w:rFonts w:hint="eastAsia" w:ascii="黑体" w:hAnsi="黑体" w:eastAsia="黑体" w:cs="黑体"/>
          <w:spacing w:val="0"/>
          <w:w w:val="100"/>
          <w:position w:val="0"/>
          <w:sz w:val="32"/>
          <w:szCs w:val="32"/>
          <w:highlight w:val="none"/>
          <w:lang w:eastAsia="zh-CN"/>
        </w:rPr>
        <w:t>优化产业布局，打造产业隆起带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val="en-US" w:eastAsia="zh-CN"/>
        </w:rPr>
        <w:t>优化园区产业布局。</w:t>
      </w:r>
      <w:r>
        <w:rPr>
          <w:rFonts w:hint="eastAsia" w:ascii="仿宋_GB2312" w:hAnsi="仿宋_GB2312" w:eastAsia="仿宋_GB2312" w:cs="仿宋_GB2312"/>
          <w:sz w:val="32"/>
          <w:szCs w:val="32"/>
          <w:lang w:val="en-US" w:eastAsia="zh-CN"/>
        </w:rPr>
        <w:t>对标园区建设“十一通一平”要求，推动一批园区标准厂房、道路建设、污水处理、电气供应等</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基础设施建设，园区建设水平和承载力均有较大提升。截至11月底，隆尧县总投资4.89亿元，占地223亩，总建筑面积24万平方米的东方食品城双创园项目已全面投入使用，目前已与</w:t>
      </w:r>
      <w:r>
        <w:rPr>
          <w:rFonts w:hint="default" w:ascii="仿宋_GB2312" w:hAnsi="仿宋_GB2312" w:eastAsia="仿宋_GB2312" w:cs="仿宋_GB2312"/>
          <w:sz w:val="32"/>
          <w:szCs w:val="32"/>
          <w:lang w:val="en" w:eastAsia="zh-CN"/>
        </w:rPr>
        <w:t>15</w:t>
      </w:r>
      <w:r>
        <w:rPr>
          <w:rFonts w:hint="eastAsia" w:ascii="仿宋_GB2312" w:hAnsi="仿宋_GB2312" w:eastAsia="仿宋_GB2312" w:cs="仿宋_GB2312"/>
          <w:sz w:val="32"/>
          <w:szCs w:val="32"/>
          <w:lang w:val="en-US" w:eastAsia="zh-CN"/>
        </w:rPr>
        <w:t>家企业达成入驻协议，其中</w:t>
      </w:r>
      <w:r>
        <w:rPr>
          <w:rFonts w:hint="default" w:ascii="仿宋_GB2312" w:hAnsi="仿宋_GB2312" w:eastAsia="仿宋_GB2312" w:cs="仿宋_GB2312"/>
          <w:sz w:val="32"/>
          <w:szCs w:val="32"/>
          <w:lang w:val="en" w:eastAsia="zh-CN"/>
        </w:rPr>
        <w:t>4</w:t>
      </w:r>
      <w:r>
        <w:rPr>
          <w:rFonts w:hint="eastAsia" w:ascii="仿宋_GB2312" w:hAnsi="仿宋_GB2312" w:eastAsia="仿宋_GB2312" w:cs="仿宋_GB2312"/>
          <w:sz w:val="32"/>
          <w:szCs w:val="32"/>
          <w:lang w:val="en-US" w:eastAsia="zh-CN"/>
        </w:rPr>
        <w:t>家企业正装配生产线，1家企业已经投产。南和区总投资5亿元，总建筑面积14.78万平方米的产业园区全部投入使用，已实现近70家中小企业入驻。宁晋县总投资7.5亿元，规划总建筑面积25万平方米的休闲食品产业园一期主体完工，预计今年6月份可达到企业拎包入驻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（二）加强园区产业规划。</w:t>
      </w:r>
      <w:r>
        <w:rPr>
          <w:rFonts w:hint="eastAsia" w:ascii="仿宋_GB2312" w:hAnsi="仿宋_GB2312" w:eastAsia="仿宋_GB2312" w:cs="仿宋_GB2312"/>
          <w:sz w:val="32"/>
          <w:szCs w:val="32"/>
          <w:lang w:val="en-US" w:eastAsia="zh-CN"/>
        </w:rPr>
        <w:t>按照“园区承载、项目聚集”的思路，着力提升宁晋、隆尧、南和五大园区能级和承载力，积极推进实施一批路网、水网、气网、污水管网等基础设施，加快建设一批研发创新、品类展示等公共服务设施，推动土地、金融、人才等要素向园区聚集。隆尧县食品加工标准产业园在2024年完成与15家企业签约入驻基础上，2025年至少再签订10家以上企业入驻。宁晋县休闲食品园（北区）6月底之前全面达到入驻条件，10月底前已签约企业全部入驻并投产达效。宁晋县健康</w:t>
      </w:r>
      <w:r>
        <w:rPr>
          <w:rFonts w:hint="default" w:ascii="仿宋_GB2312" w:hAnsi="仿宋_GB2312" w:eastAsia="仿宋_GB2312" w:cs="仿宋_GB2312"/>
          <w:sz w:val="32"/>
          <w:szCs w:val="32"/>
          <w:lang w:val="en" w:eastAsia="zh-CN"/>
        </w:rPr>
        <w:t>食品加工</w:t>
      </w:r>
      <w:r>
        <w:rPr>
          <w:rFonts w:hint="eastAsia" w:ascii="仿宋_GB2312" w:hAnsi="仿宋_GB2312" w:eastAsia="仿宋_GB2312" w:cs="仿宋_GB2312"/>
          <w:sz w:val="32"/>
          <w:szCs w:val="32"/>
          <w:lang w:val="en-US" w:eastAsia="zh-CN"/>
        </w:rPr>
        <w:t>园智能化现代物流项目、研发中心及配套设施综合项目，力争6月底前开工建设。南和区食品</w:t>
      </w:r>
      <w:r>
        <w:rPr>
          <w:rFonts w:hint="default" w:ascii="仿宋_GB2312" w:hAnsi="仿宋_GB2312" w:eastAsia="仿宋_GB2312" w:cs="仿宋_GB2312"/>
          <w:sz w:val="32"/>
          <w:szCs w:val="32"/>
          <w:lang w:val="en" w:eastAsia="zh-CN"/>
        </w:rPr>
        <w:t>加工</w:t>
      </w:r>
      <w:r>
        <w:rPr>
          <w:rFonts w:hint="eastAsia" w:ascii="仿宋_GB2312" w:hAnsi="仿宋_GB2312" w:eastAsia="仿宋_GB2312" w:cs="仿宋_GB2312"/>
          <w:sz w:val="32"/>
          <w:szCs w:val="32"/>
          <w:lang w:val="en-US" w:eastAsia="zh-CN"/>
        </w:rPr>
        <w:t>园基础设施项目力争6月底前开工建设。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黑体" w:hAnsi="黑体" w:eastAsia="黑体" w:cs="黑体"/>
          <w:spacing w:val="0"/>
          <w:w w:val="100"/>
          <w:position w:val="0"/>
          <w:sz w:val="32"/>
          <w:szCs w:val="32"/>
          <w:highlight w:val="none"/>
          <w:lang w:val="en-US" w:eastAsia="zh-CN"/>
        </w:rPr>
      </w:pPr>
      <w:r>
        <w:rPr>
          <w:rFonts w:hint="eastAsia" w:ascii="黑体" w:hAnsi="黑体" w:eastAsia="黑体" w:cs="黑体"/>
          <w:spacing w:val="0"/>
          <w:w w:val="100"/>
          <w:position w:val="0"/>
          <w:sz w:val="32"/>
          <w:szCs w:val="32"/>
          <w:highlight w:val="none"/>
          <w:lang w:val="en-US" w:eastAsia="zh-CN"/>
        </w:rPr>
        <w:t>二、加强创新驱动，提升产品竞争力</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88"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spacing w:val="12"/>
          <w:kern w:val="2"/>
          <w:sz w:val="32"/>
          <w:szCs w:val="32"/>
          <w:highlight w:val="none"/>
          <w:lang w:val="en-US" w:eastAsia="zh-CN" w:bidi="ar-SA"/>
        </w:rPr>
        <w:t>（一）加大对食品加工企业创新的支持力度。</w:t>
      </w:r>
      <w:r>
        <w:rPr>
          <w:rFonts w:hint="eastAsia" w:ascii="仿宋_GB2312" w:hAnsi="仿宋_GB2312" w:eastAsia="仿宋_GB2312" w:cs="仿宋_GB2312"/>
          <w:spacing w:val="12"/>
          <w:kern w:val="2"/>
          <w:sz w:val="32"/>
          <w:szCs w:val="32"/>
          <w:highlight w:val="none"/>
          <w:lang w:val="en-US" w:eastAsia="zh-CN" w:bidi="ar-SA"/>
        </w:rPr>
        <w:t>指导今麦郎“河北省方便食品技术创新中心”、金沙河“河北省谷物食品加工技术创新中心”、捷如美“河北省萝卜育种技术创新中心”凤来仪酒业“河北省泥窖酿酒技术创新中心”等4家企业填报省级创新平台绩效评估年报。开展市级研发平台评审，新增玉星生物“邢台市发酵功能产品技术创新中心”、精中生物“邢台市兽用原料药与制剂技术创新中心”、金元康药业“邢台市宠物干细胞应用技术创新中心”3家市级技术创新中心。</w:t>
      </w:r>
      <w:r>
        <w:rPr>
          <w:rFonts w:hint="eastAsia" w:ascii="仿宋_GB2312" w:hAnsi="Times New Roman" w:eastAsia="仿宋_GB2312" w:cs="仿宋_GB2312"/>
          <w:bCs/>
          <w:kern w:val="2"/>
          <w:sz w:val="32"/>
          <w:szCs w:val="32"/>
          <w:lang w:val="en-US" w:eastAsia="zh-CN" w:bidi="ar-SA"/>
        </w:rPr>
        <w:t>深化与北大荒集团合作，推动隆尧县北大荒研究院落地落实。同时，</w:t>
      </w:r>
      <w:r>
        <w:rPr>
          <w:rFonts w:hint="eastAsia" w:ascii="仿宋_GB2312" w:hAnsi="仿宋_GB2312" w:eastAsia="仿宋_GB2312" w:cs="仿宋_GB2312"/>
          <w:kern w:val="2"/>
          <w:sz w:val="32"/>
          <w:szCs w:val="32"/>
          <w:lang w:val="en-US" w:eastAsia="zh-CN" w:bidi="ar-SA"/>
        </w:rPr>
        <w:t>一是突出玉米淀粉深加工。以玉锋实业集团为龙头，在食用和药用级玉米淀粉加工生产基础上，推动玉米胚芽油、辅酶Q10、L-苯丙氨酸等产品研发升级。二是突出方便食品加工。以今麦郎集团为龙头，在方便食品传统产业基础上，加大食品蛋制品、肉制品、油脂等产品升级改造，发展营养型低GI国家发明专利面。三是突出挂面制品加工。以金沙河集团为龙头，在传统面粉、挂面加工基础上，推出波纹面、哈麦面、胚芽粉、荞麦面等更多产品类型。四是突出宠物食品加工。以南和区宠物产业园区为主战场，构建以宠物食品、用品为重点，辐射涵盖宠物“衣食住行、生老病亡”的全产业链。</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Cs/>
          <w:kern w:val="2"/>
          <w:sz w:val="32"/>
          <w:szCs w:val="32"/>
          <w:lang w:val="en-US" w:eastAsia="zh-CN" w:bidi="ar-SA"/>
        </w:rPr>
        <w:t>（二）加强品牌建设。</w:t>
      </w:r>
      <w:r>
        <w:rPr>
          <w:rFonts w:hint="eastAsia" w:ascii="仿宋_GB2312" w:hAnsi="仿宋_GB2312" w:eastAsia="仿宋_GB2312" w:cs="仿宋_GB2312"/>
          <w:sz w:val="32"/>
          <w:szCs w:val="32"/>
          <w:lang w:val="en-US" w:eastAsia="zh-CN"/>
        </w:rPr>
        <w:t>坚持走好“</w:t>
      </w:r>
      <w:r>
        <w:rPr>
          <w:rFonts w:hint="default" w:ascii="仿宋_GB2312" w:hAnsi="仿宋_GB2312" w:eastAsia="仿宋_GB2312" w:cs="仿宋_GB2312"/>
          <w:sz w:val="32"/>
          <w:szCs w:val="32"/>
          <w:lang w:val="en-US" w:eastAsia="zh-CN"/>
        </w:rPr>
        <w:t>政府搭台、企业唱戏</w:t>
      </w:r>
      <w:r>
        <w:rPr>
          <w:rFonts w:hint="eastAsia" w:ascii="仿宋_GB2312" w:hAnsi="仿宋_GB2312" w:eastAsia="仿宋_GB2312" w:cs="仿宋_GB2312"/>
          <w:sz w:val="32"/>
          <w:szCs w:val="32"/>
          <w:lang w:val="en-US" w:eastAsia="zh-CN"/>
        </w:rPr>
        <w:t>”之路</w:t>
      </w:r>
      <w:r>
        <w:rPr>
          <w:rFonts w:hint="default" w:ascii="仿宋_GB2312" w:hAnsi="仿宋_GB2312" w:eastAsia="仿宋_GB2312" w:cs="仿宋_GB2312"/>
          <w:sz w:val="32"/>
          <w:szCs w:val="32"/>
          <w:lang w:val="en-US" w:eastAsia="zh-CN"/>
        </w:rPr>
        <w:t>，鼓励龙头企业加大品牌建设力度，不断提高企业自主创新能力</w:t>
      </w:r>
      <w:r>
        <w:rPr>
          <w:rFonts w:hint="eastAsia" w:ascii="仿宋_GB2312" w:hAnsi="仿宋_GB2312" w:eastAsia="仿宋_GB2312" w:cs="仿宋_GB2312"/>
          <w:sz w:val="32"/>
          <w:szCs w:val="32"/>
          <w:lang w:val="en-US" w:eastAsia="zh-CN"/>
        </w:rPr>
        <w:t>和</w:t>
      </w:r>
      <w:r>
        <w:rPr>
          <w:rFonts w:hint="default" w:ascii="仿宋_GB2312" w:hAnsi="仿宋_GB2312" w:eastAsia="仿宋_GB2312" w:cs="仿宋_GB2312"/>
          <w:sz w:val="32"/>
          <w:szCs w:val="32"/>
          <w:lang w:val="en-US" w:eastAsia="zh-CN"/>
        </w:rPr>
        <w:t>核心竞争力</w:t>
      </w:r>
      <w:r>
        <w:rPr>
          <w:rFonts w:hint="eastAsia" w:ascii="仿宋_GB2312" w:hAnsi="仿宋_GB2312" w:eastAsia="仿宋_GB2312" w:cs="仿宋_GB2312"/>
          <w:sz w:val="32"/>
          <w:szCs w:val="32"/>
          <w:lang w:val="en-US" w:eastAsia="zh-CN"/>
        </w:rPr>
        <w:t>，全市</w:t>
      </w:r>
      <w:r>
        <w:rPr>
          <w:rFonts w:hint="default" w:ascii="仿宋_GB2312" w:hAnsi="仿宋_GB2312" w:eastAsia="仿宋_GB2312" w:cs="仿宋_GB2312"/>
          <w:sz w:val="32"/>
          <w:szCs w:val="32"/>
          <w:lang w:val="en-US" w:eastAsia="zh-CN"/>
        </w:rPr>
        <w:t>涌现出一批具有较强竞争力的名牌产品。</w:t>
      </w:r>
      <w:r>
        <w:rPr>
          <w:rFonts w:hint="eastAsia" w:ascii="仿宋_GB2312" w:hAnsi="仿宋_GB2312" w:eastAsia="仿宋_GB2312" w:cs="仿宋_GB2312"/>
          <w:sz w:val="32"/>
          <w:szCs w:val="32"/>
          <w:lang w:val="en-US" w:eastAsia="zh-CN"/>
        </w:rPr>
        <w:t>先后打造国家驰名商标13个、国家地理标志保护产品2个、全国名特优农产品6个、国家地理标志农产品11个、省级农产品区域公用品牌19个。2025年5月，在太行国际会展中心</w:t>
      </w:r>
      <w:r>
        <w:rPr>
          <w:rFonts w:hint="eastAsia" w:ascii="仿宋_GB2312" w:hAnsi="Times New Roman" w:eastAsia="仿宋_GB2312" w:cs="仿宋_GB2312"/>
          <w:bCs/>
          <w:kern w:val="2"/>
          <w:sz w:val="32"/>
          <w:szCs w:val="32"/>
          <w:lang w:val="en-US" w:eastAsia="zh-CN" w:bidi="ar-SA"/>
        </w:rPr>
        <w:t>高质量举办的2025年河北省农产品加工业发展大会</w:t>
      </w:r>
      <w:r>
        <w:rPr>
          <w:rFonts w:hint="eastAsia" w:hAnsi="Times New Roman" w:cs="仿宋_GB2312"/>
          <w:bCs/>
          <w:kern w:val="2"/>
          <w:sz w:val="32"/>
          <w:szCs w:val="32"/>
          <w:lang w:val="en-US" w:eastAsia="zh-CN" w:bidi="ar-SA"/>
        </w:rPr>
        <w:t>，</w:t>
      </w:r>
      <w:r>
        <w:rPr>
          <w:rFonts w:hint="eastAsia" w:ascii="仿宋_GB2312" w:hAnsi="Times New Roman" w:eastAsia="仿宋_GB2312" w:cs="仿宋_GB2312"/>
          <w:bCs/>
          <w:kern w:val="2"/>
          <w:sz w:val="32"/>
          <w:szCs w:val="32"/>
          <w:lang w:val="en-US" w:eastAsia="zh-CN" w:bidi="ar-SA"/>
        </w:rPr>
        <w:t>全面展示了我市食品加工产业隆起带建设成效，扩大招商引资成果。</w:t>
      </w:r>
      <w:r>
        <w:rPr>
          <w:rFonts w:hint="eastAsia" w:ascii="仿宋_GB2312" w:hAnsi="仿宋_GB2312" w:eastAsia="仿宋_GB2312" w:cs="仿宋_GB2312"/>
          <w:sz w:val="32"/>
          <w:szCs w:val="32"/>
          <w:lang w:val="en-US" w:eastAsia="zh-CN"/>
        </w:rPr>
        <w:t>以“一村一品”为重点，创建一批休闲农业。目前全市已拥有省级以上休闲农业与乡村旅游示范点6个</w:t>
      </w:r>
      <w:r>
        <w:rPr>
          <w:rFonts w:hint="eastAsia" w:ascii="仿宋_GB2312" w:hAnsi="仿宋_GB2312" w:eastAsia="仿宋_GB2312" w:cs="仿宋_GB2312"/>
          <w:sz w:val="32"/>
          <w:szCs w:val="32"/>
          <w:lang w:val="en" w:eastAsia="zh-CN"/>
        </w:rPr>
        <w:t>、省级以上美丽休闲乡村</w:t>
      </w:r>
      <w:r>
        <w:rPr>
          <w:rFonts w:hint="eastAsia" w:ascii="仿宋_GB2312" w:hAnsi="仿宋_GB2312" w:eastAsia="仿宋_GB2312" w:cs="仿宋_GB2312"/>
          <w:sz w:val="32"/>
          <w:szCs w:val="32"/>
          <w:lang w:val="en-US" w:eastAsia="zh-CN"/>
        </w:rPr>
        <w:t>36个、省级以上美丽乡村休闲旅游精品线路46条。2024年全市休闲农业主体866个，从业人员4.88万人，乡村旅游接待人数963万人次，营业收入9.5亿元。</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40" w:firstLineChars="200"/>
        <w:jc w:val="both"/>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三、强化食品安全监督，保障产业健康发展</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食品质量全链条管理，以产品质量提升促进食品加工产业隆起。分别由市市场监管局、市农业农村局牵头，逐级签字背书，拿出工作硬措施，定期检查和不定期抽查相结合，全面开展食品、宠物食品安全大检查，强力抓好全市食品质量和宠物食品质量安全，确保不发生任何被新闻媒体曝光或造成社会影响较大的食品和宠物食品质量安全事件。</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感谢你们对农业农村工作的关心和支持！</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800" w:firstLineChars="1500"/>
        <w:jc w:val="left"/>
        <w:textAlignment w:val="baseline"/>
        <w:rPr>
          <w:rFonts w:hint="eastAsia" w:ascii="仿宋_GB2312" w:hAnsi="仿宋_GB2312" w:eastAsia="仿宋_GB2312" w:cs="仿宋_GB2312"/>
          <w:spacing w:val="0"/>
          <w:w w:val="100"/>
          <w:position w:val="0"/>
          <w:sz w:val="32"/>
          <w:szCs w:val="32"/>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5120" w:firstLineChars="1600"/>
        <w:jc w:val="left"/>
        <w:textAlignment w:val="baseline"/>
        <w:rPr>
          <w:rFonts w:hint="eastAsia" w:ascii="仿宋_GB2312" w:hAnsi="仿宋_GB2312" w:eastAsia="仿宋_GB2312" w:cs="仿宋_GB2312"/>
          <w:spacing w:val="0"/>
          <w:w w:val="100"/>
          <w:position w:val="0"/>
          <w:sz w:val="32"/>
          <w:szCs w:val="32"/>
          <w:highlight w:val="none"/>
          <w:lang w:eastAsia="zh-CN"/>
        </w:rPr>
      </w:pPr>
      <w:r>
        <w:rPr>
          <w:rFonts w:hint="eastAsia" w:ascii="仿宋_GB2312" w:hAnsi="仿宋_GB2312" w:eastAsia="仿宋_GB2312" w:cs="仿宋_GB2312"/>
          <w:spacing w:val="0"/>
          <w:w w:val="100"/>
          <w:position w:val="0"/>
          <w:sz w:val="32"/>
          <w:szCs w:val="32"/>
          <w:highlight w:val="none"/>
          <w:lang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5440" w:firstLineChars="1700"/>
        <w:jc w:val="left"/>
        <w:textAlignment w:val="baseline"/>
        <w:rPr>
          <w:rFonts w:hint="eastAsia" w:ascii="仿宋_GB2312" w:hAnsi="仿宋_GB2312" w:eastAsia="仿宋_GB2312" w:cs="仿宋_GB2312"/>
          <w:spacing w:val="0"/>
          <w:w w:val="100"/>
          <w:position w:val="0"/>
          <w:sz w:val="32"/>
          <w:szCs w:val="32"/>
        </w:rPr>
      </w:pPr>
      <w:bookmarkStart w:id="0" w:name="_GoBack"/>
      <w:bookmarkEnd w:id="0"/>
      <w:r>
        <w:rPr>
          <w:rFonts w:hint="eastAsia" w:ascii="仿宋_GB2312" w:hAnsi="仿宋_GB2312" w:eastAsia="仿宋_GB2312" w:cs="仿宋_GB2312"/>
          <w:spacing w:val="0"/>
          <w:w w:val="100"/>
          <w:position w:val="0"/>
          <w:sz w:val="32"/>
          <w:szCs w:val="32"/>
          <w:highlight w:val="none"/>
          <w:lang w:eastAsia="zh-CN"/>
        </w:rPr>
        <w:t>202</w:t>
      </w:r>
      <w:r>
        <w:rPr>
          <w:rFonts w:hint="eastAsia" w:ascii="仿宋_GB2312" w:hAnsi="仿宋_GB2312" w:eastAsia="仿宋_GB2312" w:cs="仿宋_GB2312"/>
          <w:spacing w:val="0"/>
          <w:w w:val="100"/>
          <w:position w:val="0"/>
          <w:sz w:val="32"/>
          <w:szCs w:val="32"/>
          <w:highlight w:val="none"/>
          <w:lang w:val="en-US" w:eastAsia="zh-CN"/>
        </w:rPr>
        <w:t>5</w:t>
      </w:r>
      <w:r>
        <w:rPr>
          <w:rFonts w:hint="eastAsia" w:ascii="仿宋_GB2312" w:hAnsi="仿宋_GB2312" w:eastAsia="仿宋_GB2312" w:cs="仿宋_GB2312"/>
          <w:spacing w:val="0"/>
          <w:w w:val="100"/>
          <w:position w:val="0"/>
          <w:sz w:val="32"/>
          <w:szCs w:val="32"/>
          <w:highlight w:val="none"/>
          <w:lang w:eastAsia="zh-CN"/>
        </w:rPr>
        <w:t>年</w:t>
      </w:r>
      <w:r>
        <w:rPr>
          <w:rFonts w:hint="eastAsia" w:ascii="仿宋_GB2312" w:hAnsi="仿宋_GB2312" w:eastAsia="仿宋_GB2312" w:cs="仿宋_GB2312"/>
          <w:spacing w:val="0"/>
          <w:w w:val="100"/>
          <w:position w:val="0"/>
          <w:sz w:val="32"/>
          <w:szCs w:val="32"/>
          <w:highlight w:val="none"/>
          <w:lang w:val="en-US" w:eastAsia="zh-CN"/>
        </w:rPr>
        <w:t>5</w:t>
      </w:r>
      <w:r>
        <w:rPr>
          <w:rFonts w:hint="eastAsia" w:ascii="仿宋_GB2312" w:hAnsi="仿宋_GB2312" w:eastAsia="仿宋_GB2312" w:cs="仿宋_GB2312"/>
          <w:spacing w:val="0"/>
          <w:w w:val="100"/>
          <w:position w:val="0"/>
          <w:sz w:val="32"/>
          <w:szCs w:val="32"/>
          <w:highlight w:val="none"/>
          <w:lang w:eastAsia="zh-CN"/>
        </w:rPr>
        <w:t>月</w:t>
      </w:r>
      <w:r>
        <w:rPr>
          <w:rFonts w:hint="eastAsia" w:ascii="仿宋_GB2312" w:hAnsi="仿宋_GB2312" w:eastAsia="仿宋_GB2312" w:cs="仿宋_GB2312"/>
          <w:spacing w:val="0"/>
          <w:w w:val="100"/>
          <w:position w:val="0"/>
          <w:sz w:val="32"/>
          <w:szCs w:val="32"/>
          <w:highlight w:val="none"/>
          <w:lang w:val="en-US" w:eastAsia="zh-CN"/>
        </w:rPr>
        <w:t>30</w:t>
      </w:r>
      <w:r>
        <w:rPr>
          <w:rFonts w:hint="eastAsia" w:ascii="仿宋_GB2312" w:hAnsi="仿宋_GB2312" w:eastAsia="仿宋_GB2312" w:cs="仿宋_GB2312"/>
          <w:spacing w:val="0"/>
          <w:w w:val="100"/>
          <w:position w:val="0"/>
          <w:sz w:val="32"/>
          <w:szCs w:val="32"/>
          <w:highlight w:val="none"/>
          <w:lang w:eastAsia="zh-CN"/>
        </w:rPr>
        <w:t>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领导签发：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highlight w:val="cyan"/>
        </w:rPr>
      </w:pPr>
      <w:r>
        <w:rPr>
          <w:rFonts w:hint="eastAsia" w:ascii="仿宋_GB2312" w:hAnsi="仿宋_GB2312" w:eastAsia="仿宋_GB2312" w:cs="仿宋_GB2312"/>
          <w:spacing w:val="0"/>
          <w:w w:val="100"/>
          <w:position w:val="0"/>
          <w:sz w:val="32"/>
          <w:szCs w:val="32"/>
        </w:rPr>
        <w:t>联系人及电话：</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pPr>
      <w:r>
        <w:rPr>
          <w:rFonts w:hint="eastAsia" w:ascii="仿宋_GB2312" w:hAnsi="仿宋_GB2312" w:eastAsia="仿宋_GB2312" w:cs="仿宋_GB2312"/>
          <w:spacing w:val="0"/>
          <w:w w:val="100"/>
          <w:position w:val="0"/>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CESI宋体-GB2312">
    <w:panose1 w:val="02000500000000000000"/>
    <w:charset w:val="86"/>
    <w:family w:val="auto"/>
    <w:pitch w:val="default"/>
    <w:sig w:usb0="800002AF" w:usb1="08476CF8"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72899"/>
    <w:multiLevelType w:val="singleLevel"/>
    <w:tmpl w:val="AF0728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1ED74D33"/>
    <w:rsid w:val="1EFB0D91"/>
    <w:rsid w:val="1FFF4F2F"/>
    <w:rsid w:val="1FFFDB53"/>
    <w:rsid w:val="22FC26AA"/>
    <w:rsid w:val="27E6E4CE"/>
    <w:rsid w:val="296F2580"/>
    <w:rsid w:val="2AE995C0"/>
    <w:rsid w:val="2D2F65EC"/>
    <w:rsid w:val="2DFDD98A"/>
    <w:rsid w:val="33FDFAAF"/>
    <w:rsid w:val="3AED6EF7"/>
    <w:rsid w:val="3B799848"/>
    <w:rsid w:val="3BBE8DF5"/>
    <w:rsid w:val="3D2D143A"/>
    <w:rsid w:val="3FFFC438"/>
    <w:rsid w:val="4A740A5B"/>
    <w:rsid w:val="4ABAFA6A"/>
    <w:rsid w:val="4BFBDB5A"/>
    <w:rsid w:val="527B0076"/>
    <w:rsid w:val="577AF521"/>
    <w:rsid w:val="59FD4EE6"/>
    <w:rsid w:val="5A6E4C9D"/>
    <w:rsid w:val="5ABF27EC"/>
    <w:rsid w:val="5AFBBACB"/>
    <w:rsid w:val="5B0F483F"/>
    <w:rsid w:val="5BBAD456"/>
    <w:rsid w:val="5EFA7CCD"/>
    <w:rsid w:val="5F758E01"/>
    <w:rsid w:val="5F7BC764"/>
    <w:rsid w:val="5FBB3193"/>
    <w:rsid w:val="5FFF21B9"/>
    <w:rsid w:val="5FFFE01B"/>
    <w:rsid w:val="65F62688"/>
    <w:rsid w:val="67D44070"/>
    <w:rsid w:val="67FED270"/>
    <w:rsid w:val="69B1306C"/>
    <w:rsid w:val="6CDF49CD"/>
    <w:rsid w:val="6D677CF1"/>
    <w:rsid w:val="6F1DCE06"/>
    <w:rsid w:val="6FFB7ECD"/>
    <w:rsid w:val="6FFF8008"/>
    <w:rsid w:val="71A73041"/>
    <w:rsid w:val="73FFECE0"/>
    <w:rsid w:val="767F46BE"/>
    <w:rsid w:val="774BB46F"/>
    <w:rsid w:val="776F8120"/>
    <w:rsid w:val="77D5225A"/>
    <w:rsid w:val="79FFCCF3"/>
    <w:rsid w:val="7B8F98D5"/>
    <w:rsid w:val="7DBEDB6A"/>
    <w:rsid w:val="7DC62FB7"/>
    <w:rsid w:val="7DDD5784"/>
    <w:rsid w:val="7DEC0038"/>
    <w:rsid w:val="7E7FBAB2"/>
    <w:rsid w:val="7EB342EC"/>
    <w:rsid w:val="7F2E3046"/>
    <w:rsid w:val="7F7D58EC"/>
    <w:rsid w:val="7F7FB0FC"/>
    <w:rsid w:val="7FDE3586"/>
    <w:rsid w:val="915337E1"/>
    <w:rsid w:val="9FE5913B"/>
    <w:rsid w:val="9FEEE903"/>
    <w:rsid w:val="A1FFDEE1"/>
    <w:rsid w:val="ABACE559"/>
    <w:rsid w:val="AF4732A0"/>
    <w:rsid w:val="AFFE35FC"/>
    <w:rsid w:val="B3CB1A69"/>
    <w:rsid w:val="B4FFC163"/>
    <w:rsid w:val="B77FECAE"/>
    <w:rsid w:val="B7FF5AD5"/>
    <w:rsid w:val="BA7B23C6"/>
    <w:rsid w:val="BED93813"/>
    <w:rsid w:val="BEE7B0CD"/>
    <w:rsid w:val="BF7303E1"/>
    <w:rsid w:val="BFBB1ABD"/>
    <w:rsid w:val="BFBEA43B"/>
    <w:rsid w:val="CBED193F"/>
    <w:rsid w:val="D3D7E3D8"/>
    <w:rsid w:val="D5FE36DA"/>
    <w:rsid w:val="D73FF635"/>
    <w:rsid w:val="D7D75D73"/>
    <w:rsid w:val="D7DF456D"/>
    <w:rsid w:val="DBF17EE1"/>
    <w:rsid w:val="DCF795DA"/>
    <w:rsid w:val="DEFF752A"/>
    <w:rsid w:val="DF7B5D7E"/>
    <w:rsid w:val="DFDB8779"/>
    <w:rsid w:val="DFF68FAB"/>
    <w:rsid w:val="DFFD1AF6"/>
    <w:rsid w:val="E6A77025"/>
    <w:rsid w:val="EBFFB9F8"/>
    <w:rsid w:val="ECB7873A"/>
    <w:rsid w:val="ECFAFB61"/>
    <w:rsid w:val="EF07C7B0"/>
    <w:rsid w:val="EFFF9037"/>
    <w:rsid w:val="F313D95E"/>
    <w:rsid w:val="F3EDC4E9"/>
    <w:rsid w:val="F47F7BAF"/>
    <w:rsid w:val="F5DE4875"/>
    <w:rsid w:val="F6F7FA2F"/>
    <w:rsid w:val="F767BFD7"/>
    <w:rsid w:val="F7DE90C8"/>
    <w:rsid w:val="F7EEED6A"/>
    <w:rsid w:val="F7FF7E76"/>
    <w:rsid w:val="F99F4288"/>
    <w:rsid w:val="F9FB2C41"/>
    <w:rsid w:val="FB412181"/>
    <w:rsid w:val="FBB61A90"/>
    <w:rsid w:val="FC566F36"/>
    <w:rsid w:val="FCF7CA60"/>
    <w:rsid w:val="FD2FDC90"/>
    <w:rsid w:val="FDAE187A"/>
    <w:rsid w:val="FDDF4241"/>
    <w:rsid w:val="FE6DE191"/>
    <w:rsid w:val="FECD3A26"/>
    <w:rsid w:val="FEFFC783"/>
    <w:rsid w:val="FF7FA40A"/>
    <w:rsid w:val="FFAB3219"/>
    <w:rsid w:val="FFBAEE75"/>
    <w:rsid w:val="FFFF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420" w:leftChars="200" w:firstLine="420" w:firstLineChars="200"/>
    </w:pPr>
    <w:rPr>
      <w:rFonts w:ascii="Times New Roman"/>
    </w:rPr>
  </w:style>
  <w:style w:type="paragraph" w:styleId="3">
    <w:name w:val="Body Text Indent"/>
    <w:basedOn w:val="1"/>
    <w:next w:val="2"/>
    <w:qFormat/>
    <w:uiPriority w:val="0"/>
    <w:pPr>
      <w:snapToGrid w:val="0"/>
      <w:spacing w:line="480" w:lineRule="exact"/>
      <w:ind w:right="-45" w:firstLine="480"/>
    </w:pPr>
    <w:rPr>
      <w:rFonts w:ascii="楷体_GB2312" w:eastAsia="楷体_GB2312"/>
      <w:spacing w:val="12"/>
      <w:sz w:val="24"/>
    </w:rPr>
  </w:style>
  <w:style w:type="paragraph" w:styleId="4">
    <w:name w:val="Normal Indent"/>
    <w:basedOn w:val="1"/>
    <w:next w:val="5"/>
    <w:qFormat/>
    <w:uiPriority w:val="99"/>
    <w:pPr>
      <w:spacing w:after="120"/>
      <w:ind w:left="420"/>
    </w:pPr>
  </w:style>
  <w:style w:type="paragraph" w:styleId="5">
    <w:name w:val="footer"/>
    <w:basedOn w:val="1"/>
    <w:next w:val="2"/>
    <w:qFormat/>
    <w:uiPriority w:val="0"/>
    <w:pPr>
      <w:tabs>
        <w:tab w:val="center" w:pos="4153"/>
        <w:tab w:val="right" w:pos="8306"/>
      </w:tabs>
      <w:snapToGrid w:val="0"/>
      <w:jc w:val="left"/>
    </w:pPr>
    <w:rPr>
      <w:sz w:val="18"/>
    </w:rPr>
  </w:style>
  <w:style w:type="paragraph" w:styleId="6">
    <w:name w:val="toa heading"/>
    <w:basedOn w:val="1"/>
    <w:next w:val="1"/>
    <w:qFormat/>
    <w:uiPriority w:val="0"/>
    <w:pPr>
      <w:spacing w:before="120"/>
    </w:pPr>
    <w:rPr>
      <w:rFonts w:ascii="Arial" w:hAnsi="Arial"/>
      <w:sz w:val="24"/>
    </w:rPr>
  </w:style>
  <w:style w:type="paragraph" w:styleId="7">
    <w:name w:val="Body Text"/>
    <w:basedOn w:val="1"/>
    <w:next w:val="8"/>
    <w:qFormat/>
    <w:uiPriority w:val="0"/>
    <w:pPr>
      <w:spacing w:after="240"/>
      <w:jc w:val="left"/>
    </w:pPr>
    <w:rPr>
      <w:rFonts w:ascii="Times New Roman" w:hAnsi="Times New Roman" w:eastAsia="宋体" w:cs="Times New Roman"/>
    </w:rPr>
  </w:style>
  <w:style w:type="paragraph" w:styleId="8">
    <w:name w:val="toc 2"/>
    <w:basedOn w:val="1"/>
    <w:next w:val="1"/>
    <w:qFormat/>
    <w:uiPriority w:val="0"/>
    <w:pPr>
      <w:tabs>
        <w:tab w:val="right" w:leader="middleDot" w:pos="8640"/>
        <w:tab w:val="left" w:pos="9180"/>
      </w:tabs>
      <w:spacing w:line="460" w:lineRule="exact"/>
    </w:pPr>
    <w:rPr>
      <w:rFonts w:ascii="Times New Roman" w:hAnsi="Times New Roman" w:eastAsia="宋体" w:cs="Times New Roman"/>
      <w:sz w:val="24"/>
    </w:rPr>
  </w:style>
  <w:style w:type="paragraph" w:styleId="9">
    <w:name w:val="Plain Text"/>
    <w:basedOn w:val="1"/>
    <w:qFormat/>
    <w:uiPriority w:val="0"/>
    <w:rPr>
      <w:rFonts w:ascii="宋体" w:hAnsi="Courier New"/>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279</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2023-05-29T16:42:00Z</dcterms:created>
  <dc:creator>风雨兼程</dc:creator>
  <cp:lastModifiedBy>ncj</cp:lastModifiedBy>
  <cp:lastPrinted>2025-06-10T09:53:40Z</cp:lastPrinted>
  <dcterms:modified xsi:type="dcterms:W3CDTF">2025-06-10T15:42:28Z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